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3360-K</w:t>
        <w:t xml:space="preserve">.  </w:t>
      </w:r>
      <w:r>
        <w:rPr>
          <w:b/>
        </w:rPr>
        <w:t xml:space="preserve">Effective dates</w:t>
      </w:r>
    </w:p>
    <w:p>
      <w:pPr>
        <w:jc w:val="both"/>
        <w:spacing w:before="100" w:after="0"/>
        <w:ind w:start="360"/>
        <w:ind w:firstLine="360"/>
      </w:pPr>
      <w:r>
        <w:rPr>
          <w:b/>
        </w:rPr>
        <w:t>1</w:t>
        <w:t xml:space="preserve">.  </w:t>
      </w:r>
      <w:r>
        <w:rPr>
          <w:b/>
        </w:rPr>
        <w:t xml:space="preserve">Penalty imposed.</w:t>
        <w:t xml:space="preserve"> </w:t>
      </w:r>
      <w:r>
        <w:t xml:space="preserve"> </w:t>
      </w:r>
      <w:r>
        <w:t xml:space="preserve">The assessments required by </w:t>
      </w:r>
      <w:r>
        <w:t>section 3360‑I</w:t>
      </w:r>
      <w:r>
        <w:t xml:space="preserve"> apply to penalties imposed for criminal conduct alleged to have occurred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Compensation awarded.</w:t>
        <w:t xml:space="preserve"> </w:t>
      </w:r>
      <w:r>
        <w:t xml:space="preserve"> </w:t>
      </w:r>
      <w:r>
        <w:t xml:space="preserve">Notwithstanding the effective date of this chapter, the board may not award compensation for any crime that occurred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Processing claims.</w:t>
        <w:t xml:space="preserve"> </w:t>
      </w:r>
      <w:r>
        <w:t xml:space="preserve"> </w:t>
      </w:r>
      <w:r>
        <w:t xml:space="preserve">Notwithstanding the effective date of this chapter, the board is not obligated to process or pay claims before June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§3360-K. Effective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§3360-K. Effective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§3360-K. EFFECTIVE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