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3373</w:t>
        <w:t xml:space="preserve">.  </w:t>
      </w:r>
      <w:r>
        <w:rPr>
          <w:b/>
        </w:rPr>
        <w:t xml:space="preserve">Firefighter Safety Equipment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Firefighter Safety Equipment Fund, referred to in this section as "the fund," is established under the commission as a nonlapsing fund to provide funds to allow fire departments to purchase and install diesel vehicle exhaust systems and heavy duty extractor washing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commission shall establish criteria to award grants to fire departments from the fund. The commission may adopt rules to implement this subsection.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3</w:t>
        <w:t xml:space="preserve">.  </w:t>
      </w:r>
      <w:r>
        <w:rPr>
          <w:b/>
        </w:rPr>
        <w:t xml:space="preserve">Procedure.</w:t>
        <w:t xml:space="preserve"> </w:t>
      </w:r>
      <w:r>
        <w:t xml:space="preserve"> </w:t>
      </w:r>
      <w:r>
        <w:t xml:space="preserve">A fire department may apply to the commission for grants. The commission shall evaluate each application pursuant to the criteria developed pursuant to </w:t>
      </w:r>
      <w:r>
        <w:t>subsection 2</w:t>
      </w:r>
      <w:r>
        <w:t xml:space="preserve"> and, to the extent funds are available, shall award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§3373. Firefighter Safety Equipment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§3373. Firefighter Safety Equipment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§3373. FIREFIGHTER SAFETY EQUIPMENT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