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4614</w:t>
        <w:t xml:space="preserve">.  </w:t>
      </w:r>
      <w:r>
        <w:rPr>
          <w:b/>
        </w:rPr>
        <w:t xml:space="preserve">Attorney's fees and costs</w:t>
      </w:r>
    </w:p>
    <w:p>
      <w:pPr>
        <w:jc w:val="both"/>
        <w:spacing w:before="100" w:after="100"/>
        <w:ind w:start="360"/>
        <w:ind w:firstLine="360"/>
      </w:pPr>
      <w:r>
        <w:rPr/>
      </w:r>
      <w:r>
        <w:rPr/>
      </w:r>
      <w:r>
        <w:t xml:space="preserve">In any civil action under this Act, the court, in its discretion, may allow the prevailing party reasonable attorney's fees and costs, except that the commission may not be awarded attorney's fees and costs and is not liable to pay any party's attorney's fees and costs.</w:t>
      </w:r>
      <w:r>
        <w:t xml:space="preserve">  </w:t>
      </w:r>
      <w:r xmlns:wp="http://schemas.openxmlformats.org/drawingml/2010/wordprocessingDrawing" xmlns:w15="http://schemas.microsoft.com/office/word/2012/wordml">
        <w:rPr>
          <w:rFonts w:ascii="Arial" w:hAnsi="Arial" w:cs="Arial"/>
          <w:sz w:val="22"/>
          <w:szCs w:val="22"/>
        </w:rPr>
        <w:t xml:space="preserve">[PL 2019, c. 465,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255, §3 (NEW). PL 2019, c. 465,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§4614. Attorney's fees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§4614. Attorney's fees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§4614. ATTORNEY'S FEES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