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Appeals</w:t>
      </w:r>
    </w:p>
    <w:p>
      <w:pPr>
        <w:jc w:val="both"/>
        <w:spacing w:before="100" w:after="100"/>
        <w:ind w:start="360"/>
        <w:ind w:firstLine="360"/>
      </w:pPr>
      <w:r>
        <w:rPr/>
      </w:r>
      <w:r>
        <w:rPr/>
      </w:r>
      <w:r>
        <w:t xml:space="preserve">Any person who is aggrieved by the decision of any licensing agency in possible violation of this chapter may file a statement of complaint with the District Court designated in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§14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1987, c. 402, §A54 (AMD). PL 1999, c. 547, §B14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§5304.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§5304.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