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6203-C</w:t>
        <w:t xml:space="preserve">.  </w:t>
      </w:r>
      <w:r>
        <w:rPr>
          <w:b/>
        </w:rPr>
        <w:t xml:space="preserve">Maine Working Farmland Access and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Farmland Access and Protection Fund, referred to in this section as "the fund," is established and is administered by the board in cooperation with the Commissioner of Agriculture, Conservation and Forestry under the provisions of this chapter and </w:t>
      </w:r>
      <w:r>
        <w:t>Title 7, section 164</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§7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farmland.  The board shall include as a condition of an acquisition or grant made under this section the requirement that the protected property may not be used, altered or developed in a manner that precludes its availability for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applicant or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100"/>
        <w:ind w:start="360"/>
        <w:ind w:firstLine="360"/>
      </w:pPr>
      <w:r>
        <w:rPr>
          <w:b/>
        </w:rPr>
        <w:t>5</w:t>
        <w:t xml:space="preserve">.  </w:t>
      </w:r>
      <w:r>
        <w:rPr>
          <w:b/>
        </w:rPr>
        <w:t xml:space="preserve">Uses of the fund.</w:t>
        <w:t xml:space="preserve"> </w:t>
      </w:r>
      <w:r>
        <w:t xml:space="preserve"> </w:t>
      </w:r>
      <w:r>
        <w:t xml:space="preserve">When an interest in land or an interest in working farmland is acquired with proceeds from the fund, the board may fund minor capital investments in the stewardship of that land.  Funds for stewardship investments must be held in a dedicated stewardship endowment and identified for use on the funded property.  The stewardship investments may not exceed 5% of the appraised value of the acquired property.</w:t>
      </w:r>
    </w:p>
    <w:p>
      <w:pPr>
        <w:jc w:val="both"/>
        <w:spacing w:before="100" w:after="0"/>
        <w:ind w:start="720"/>
      </w:pPr>
      <w:r>
        <w:rPr/>
        <w:t>A</w:t>
        <w:t xml:space="preserve">.  </w:t>
      </w:r>
      <w:r>
        <w:rPr/>
      </w:r>
      <w:r>
        <w:t xml:space="preserve">When an interest in land is acquired with proceeds from the fund, the board may fund minor capital improvements on the land and on adjoining lands in the same ownership or under the same management to improve public access,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w:pPr>
        <w:jc w:val="both"/>
        <w:spacing w:before="100" w:after="0"/>
        <w:ind w:start="720"/>
      </w:pPr>
      <w:r>
        <w:rPr/>
        <w:t>B</w:t>
        <w:t xml:space="preserve">.  </w:t>
      </w:r>
      <w:r>
        <w:rPr/>
      </w:r>
      <w:r>
        <w:t xml:space="preserve">When an interest in working farmland is acquired with proceeds from the fund, the board may fund the development of a business plan and capital improvements to provide for the land's continuing use as working farmland, as long as these improvements do not exceed 5% of the appraised value of the acquired property. Capital improvements under this paragraph may also be made on adjoining farmland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 PL 2023, c. 284,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§6203-C. Maine Working Farmland Access and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§6203-C. Maine Working Farmland Access and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§6203-C. MAINE WORKING FARMLAND ACCESS AND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