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§6203-F. CONSERVATION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