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Municipal approval</w:t>
      </w:r>
    </w:p>
    <w:p>
      <w:pPr>
        <w:jc w:val="both"/>
        <w:spacing w:before="100" w:after="0"/>
        <w:ind w:start="360"/>
        <w:ind w:firstLine="360"/>
      </w:pPr>
      <w:r>
        <w:rPr>
          <w:b/>
        </w:rPr>
        <w:t>1</w:t>
        <w:t xml:space="preserve">.  </w:t>
      </w:r>
      <w:r>
        <w:rPr>
          <w:b/>
        </w:rPr>
        <w:t xml:space="preserve">Approval.</w:t>
        <w:t xml:space="preserve"> </w:t>
      </w:r>
      <w:r>
        <w:t xml:space="preserve"> </w:t>
      </w:r>
      <w:r>
        <w:t xml:space="preserve">Approval by the elected municipal officials is required when more than 1% of a municipality's state valuation is considered for acquisition under a bond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w:pPr>
        <w:jc w:val="both"/>
        <w:spacing w:before="100" w:after="0"/>
        <w:ind w:start="360"/>
        <w:ind w:firstLine="360"/>
      </w:pPr>
      <w:r>
        <w:rPr>
          <w:b/>
        </w:rPr>
        <w:t>2</w:t>
        <w:t xml:space="preserve">.  </w:t>
      </w:r>
      <w:r>
        <w:rPr>
          <w:b/>
        </w:rPr>
        <w:t xml:space="preserve">Transactions.</w:t>
        <w:t xml:space="preserve"> </w:t>
      </w:r>
      <w:r>
        <w:t xml:space="preserve"> </w:t>
      </w:r>
      <w:r>
        <w:t xml:space="preserve">Any acquisition by eminent domain funded by the board, when the land exceeds either 50 acres or $100,000 in assessed value, is subject to the approval of the municipality in which the land is located.  That approval may be obtained either from the elected municipal officials or, if those officials do not approve, by vote of the town meeting or by referendum of the electorate.  If the land involved is located within the unorganized territory, this requirement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1989, c. 603, §3 (AMD). PL 1993, c. 728,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§6208. Municipal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Municipal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§6208. MUNICIPAL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