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7-B</w:t>
        <w:t xml:space="preserve">.  </w:t>
      </w:r>
      <w:r>
        <w:rPr>
          <w:b/>
        </w:rPr>
        <w:t xml:space="preserve">Use of state vehicles for commuting</w:t>
      </w:r>
    </w:p>
    <w:p>
      <w:pPr>
        <w:jc w:val="both"/>
        <w:spacing w:before="100" w:after="100"/>
        <w:ind w:start="360"/>
        <w:ind w:firstLine="360"/>
      </w:pPr>
      <w:r>
        <w:rPr/>
      </w:r>
      <w:r>
        <w:rPr/>
      </w:r>
      <w:r>
        <w:t xml:space="preserve">Notwithstanding </w:t>
      </w:r>
      <w:r>
        <w:t>section 7‑A</w:t>
      </w:r>
      <w:r>
        <w:t xml:space="preserve">, a state-owned or state-leased vehicle may not be used by any employee to commute between home and work, except for those vehicles authorized and assigned to employees of the Baxter State Park Authority and of the Department of Defense, Veterans and Emergency Management, Military Bureau as designated by the Commissioner of Defense, Veterans and Emergency Management; to the director or deputy director or duty officer of the Maine Emergency Management Agency within the Department of Defense, Veterans and Emergency Management; to employees of the Department of Corrections designated by the Commissioner of Corrections; and to law enforcement officials within the following organizational units: Bureau of State Police; Maine Drug Enforcement Agency; Office of the State Fire Marshal; Bureau of Motor Vehicles; Bureau of Marine Patrol; the forest protection unit within the Bureau of Forestry; Bureau of Warden Service; Bureau of Parks and Lands; Office of Cannabis Policy; Bureau of Alcoholic Beverages and Lottery Operations; and the investigation division and the Medicaid fraud control unit within the Office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2023, c. 412, Pt. EE,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§III1 (NEW). PL 1991, c. 528, §RRR (AFF). PL 1991, c. 591, §III1 (NEW). PL 1991, c. 618, §1 (AMD). PL 1991, c. 618, §7 (AFF). PL 1991, c. 780, §JJ1 (AMD). PL 1991, c. 837, §B2 (AMD). PL 1991, c. 841, §2 (AMD). PL 1993, c. 349, §4 (RPR). PL 1995, c. 502, §E30 (AMD). PL 1999, c. 155, §A1 (AMD). PL 2003, c. 688, §A1 (AMD). PL 2011, c. 657, Pt. X, §1 (AMD). PL 2013, c. 405, Pt. A, §§23, 24 (REV). PL 2017, c. 284, Pt. CCC, §1 (AMD). PL 2019, c. 578, §2 (AMD). PL 2021, c. 258, §1 (AMD). PL 2021, c. 293, Pt. C, §3 (AMD). PL 2023, c. 412, Pt. EE,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§7-B. Use of state vehicles for commuting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§7-B. Use of state vehicles for commuting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§7-B. USE OF STATE VEHICLES FOR COMMUTING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