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State employment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§785. STATE EMPLOYMENT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