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AGRICULTURAL DEVELOPMENT GRANT PROGRAM</w:t>
      </w:r>
    </w:p>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AGRICULTURAL DEVELOPMENT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AGRICULTURAL DEVELOPMENT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 AGRICULTURAL DEVELOPMENT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