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PRODUCTS CONTROLLED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103. PRODUCTS CONTROLLED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