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COUNTY AND LOCAL SOCIETIES</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COUNTY AND LOCAL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COUNTY AND LOCAL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 COUNTY AND LOCAL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