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527</w:t>
      </w:r>
    </w:p>
    <w:p>
      <w:pPr>
        <w:jc w:val="center"/>
        <w:ind w:start="360"/>
        <w:spacing w:before="300" w:after="300"/>
      </w:pPr>
      <w:r>
        <w:rPr>
          <w:b/>
        </w:rPr>
        <w:t xml:space="preserve">INSPECTION</w:t>
      </w:r>
    </w:p>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527.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527.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527.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