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1453</w:t>
        <w:t xml:space="preserve">.  </w:t>
      </w:r>
      <w:r>
        <w:rPr>
          <w:b/>
        </w:rPr>
        <w:t xml:space="preserve">Rules</w:t>
      </w:r>
    </w:p>
    <w:p>
      <w:pPr>
        <w:jc w:val="both"/>
        <w:spacing w:before="100" w:after="100"/>
        <w:ind w:start="360"/>
        <w:ind w:firstLine="360"/>
      </w:pPr>
      <w:r>
        <w:rPr/>
      </w:r>
      <w:r>
        <w:rPr/>
      </w:r>
      <w:r>
        <w:t xml:space="preserve">The commissioner shall, in a manner consistent with the Maine Administrative Procedure Act, make rules necessary to protect the health and welfare of animals going through auction, which have the power of law as outlined under </w:t>
      </w:r>
      <w:r>
        <w:t>section 1752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572,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§117 (AMD). PL 2001, c. 572,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§1453.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§1453.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