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§1813. Vesicular exanthema --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Vesicular exanthema --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§1813. VESICULAR EXANTHEMA --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