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2321</w:t>
        <w:t xml:space="preserve">.  </w:t>
      </w:r>
      <w:r>
        <w:rPr>
          <w:b/>
        </w:rPr>
        <w:t xml:space="preserve">Entry into force and withdrawal -- Article X</w:t>
      </w:r>
    </w:p>
    <w:p>
      <w:pPr>
        <w:jc w:val="both"/>
        <w:spacing w:before="100" w:after="100"/>
        <w:ind w:start="360"/>
        <w:ind w:firstLine="360"/>
      </w:pPr>
      <w:r>
        <w:rPr/>
      </w:r>
      <w:r>
        <w:rPr/>
      </w:r>
      <w:r>
        <w:t xml:space="preserve">This compact enters into force when enacted into law by 5 or more states. Thereafter, this compact becomes effective, as to any other state, upon that state's enactment thereof.</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100"/>
        <w:ind w:start="360"/>
        <w:ind w:firstLine="360"/>
      </w:pPr>
      <w:r>
        <w:rPr/>
      </w:r>
      <w:r>
        <w:rPr/>
      </w:r>
      <w:r>
        <w:t xml:space="preserve">Any party state may withdraw from this compact by enacting a statute repealing the same, but no withdrawal may take effect until 2 years after the executive head of the withdrawing state has given notice in writing of the withdrawal to the executive heads of all other party states. No withdrawal affects any liability already incurred by or chargeable to a party state prior to the time of the withdrawal.</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§2321. Entry into force and withdrawal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§2321. Entry into force and withdrawal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§2321. ENTRY INTO FORCE AND WITHDRAWAL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