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Construction and severability -- Article XI</w:t>
      </w:r>
    </w:p>
    <w:p>
      <w:pPr>
        <w:jc w:val="both"/>
        <w:spacing w:before="100" w:after="100"/>
        <w:ind w:start="360"/>
        <w:ind w:firstLine="360"/>
      </w:pPr>
      <w:r>
        <w:rPr/>
      </w:r>
      <w:r>
        <w:rPr/>
      </w:r>
      <w:r>
        <w:t xml:space="preserve">This compact must be liberally construed so as to effectuate the purposes thereof. This compact is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may not be affected thereby. If this compact is held contrary to the constitution of any state participating herein, the compact remains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§2322. Construction and severability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Construction and severability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§2322. CONSTRUCTION AND SEVERABILITY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