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2323</w:t>
        <w:t xml:space="preserve">.  </w:t>
      </w:r>
      <w:r>
        <w:rPr>
          <w:b/>
        </w:rPr>
        <w:t xml:space="preserve">Cooperation</w:t>
      </w:r>
    </w:p>
    <w:p>
      <w:pPr>
        <w:jc w:val="both"/>
        <w:spacing w:before="100" w:after="100"/>
        <w:ind w:start="360"/>
        <w:ind w:firstLine="360"/>
      </w:pPr>
      <w:r>
        <w:rPr/>
      </w:r>
      <w:r>
        <w:rPr/>
      </w:r>
      <w:r>
        <w:t xml:space="preserve">Consistent with law and within available appropriations, the departments, agencies and officers of this State shall cooperate with the governing board of the Pest Control Insurance Fund established by the Pest Control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§2323.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§2323.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§2323.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