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§2901-B. Trademark for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§2901-B. Trademark for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§2901-B. TRADEMARK FOR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