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2906</w:t>
        <w:t xml:space="preserve">.  </w:t>
      </w:r>
      <w:r>
        <w:rPr>
          <w:b/>
        </w:rPr>
        <w:t xml:space="preserve">Civil suits</w:t>
      </w:r>
    </w:p>
    <w:p>
      <w:pPr>
        <w:jc w:val="both"/>
        <w:spacing w:before="100" w:after="100"/>
        <w:ind w:start="360"/>
        <w:ind w:firstLine="360"/>
      </w:pPr>
      <w:r>
        <w:rPr/>
      </w:r>
      <w:r>
        <w:rPr/>
      </w:r>
      <w:r>
        <w:t xml:space="preserve">The district attorney for the county in which any violation of </w:t>
      </w:r>
      <w:r>
        <w:t>sections 2901‑A</w:t>
      </w:r>
      <w:r>
        <w:t xml:space="preserve"> to </w:t>
      </w:r>
      <w:r>
        <w:t>2903‑B</w:t>
      </w:r>
      <w:r>
        <w:t xml:space="preserve"> has occurred shall, if requested, assist the commissioner in suits arising under those sections.</w:t>
      </w:r>
      <w:r>
        <w:t xml:space="preserve">  </w:t>
      </w:r>
      <w:r xmlns:wp="http://schemas.openxmlformats.org/drawingml/2010/wordprocessingDrawing" xmlns:w15="http://schemas.microsoft.com/office/word/2012/wordml">
        <w:rPr>
          <w:rFonts w:ascii="Arial" w:hAnsi="Arial" w:cs="Arial"/>
          <w:sz w:val="22"/>
          <w:szCs w:val="22"/>
        </w:rPr>
        <w:t xml:space="preserve">[PL 2005, c. 270,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§98 (RPR). PL 1999, c. 362, §12 (AMD). PL 1999, c. 679, §A9 (AMD). PL 2005, c. 270,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§2906. Civil suits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§2906. Civil suits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§2906. CIVIL SUITS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