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§318. BUSINESS PLAN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