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w:t>
        <w:t xml:space="preserve">.  </w:t>
      </w:r>
      <w:r>
        <w:rPr>
          <w:b/>
        </w:rPr>
        <w:t xml:space="preserve">Regulations</w:t>
      </w:r>
    </w:p>
    <w:p>
      <w:pPr>
        <w:jc w:val="both"/>
        <w:spacing w:before="100" w:after="100"/>
        <w:ind w:start="360"/>
        <w:ind w:firstLine="360"/>
      </w:pPr>
      <w:r>
        <w:rPr/>
      </w:r>
      <w:r>
        <w:rPr/>
      </w:r>
      <w:r>
        <w:t xml:space="preserve">The commissioner may prescribe regulations in a manner consistent with the Maine Administrative Procedure Act, </w:t>
      </w:r>
      <w:r>
        <w:t>Title 5, chapter 375</w:t>
      </w:r>
      <w:r>
        <w:t xml:space="preserve">, for carrying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§35.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