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Nutrient Management Fund</w:t>
      </w:r>
    </w:p>
    <w:p>
      <w:pPr>
        <w:jc w:val="both"/>
        <w:spacing w:before="100" w:after="100"/>
        <w:ind w:start="360"/>
        <w:ind w:firstLine="360"/>
      </w:pPr>
      <w:r>
        <w:rPr/>
      </w:r>
      <w:r>
        <w:rPr/>
      </w:r>
      <w:r>
        <w:t xml:space="preserve">There is established the nonlapsing Nutrient Management Fund.  The commissioner may accept funds from any source designated to be placed in the fund.  The commissioner may authorize expenses from the fund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§4208. Nutrient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Nutrient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§4208. NUTRIENT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