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 Consumer commodity label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Consumer commodity label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§526. CONSUMER COMMODITY LABEL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