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w:t>
        <w:t xml:space="preserve">.  </w:t>
      </w:r>
      <w:r>
        <w:rPr>
          <w:b/>
        </w:rPr>
        <w:t xml:space="preserve">Exemptions</w:t>
      </w:r>
    </w:p>
    <w:p>
      <w:pPr>
        <w:jc w:val="both"/>
        <w:spacing w:before="100" w:after="100"/>
        <w:ind w:start="360"/>
        <w:ind w:firstLine="360"/>
      </w:pPr>
      <w:r>
        <w:rPr/>
      </w:r>
      <w:r>
        <w:rPr/>
      </w:r>
      <w:r>
        <w:t xml:space="preserve">All packages of consumer commodities that have been labeled in accordance with federal regulations established by the United States Department of Health and Human Services, the Federal Trade Commission or the United States Department of Agriculture are in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512,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1973, c. 625, §38 (AMD). PL 2005, c. 512,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§528.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§528.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