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53-B</w:t>
        <w:t xml:space="preserve">.  </w:t>
      </w:r>
      <w:r>
        <w:rPr>
          <w:b/>
        </w:rPr>
        <w:t xml:space="preserve">Registration in 1990 and 1991</w:t>
      </w:r>
    </w:p>
    <w:p>
      <w:pPr>
        <w:jc w:val="both"/>
        <w:spacing w:before="100" w:after="100"/>
        <w:ind w:start="360"/>
        <w:ind w:firstLine="360"/>
      </w:pPr>
      <w:r>
        <w:rPr/>
      </w:r>
      <w:r>
        <w:rPr/>
      </w:r>
      <w:r>
        <w:t xml:space="preserve">An owner of land may register any designated portion of that land that qualifies as farmland under this chapter as follows.</w:t>
      </w:r>
      <w:r>
        <w:t xml:space="preserve">  </w:t>
      </w:r>
      <w:r xmlns:wp="http://schemas.openxmlformats.org/drawingml/2010/wordprocessingDrawing" xmlns:w15="http://schemas.microsoft.com/office/word/2012/wordml">
        <w:rPr>
          <w:rFonts w:ascii="Arial" w:hAnsi="Arial" w:cs="Arial"/>
          <w:sz w:val="22"/>
          <w:szCs w:val="22"/>
        </w:rPr>
        <w:t xml:space="preserve">[PL 2011, c. 608, §6 (AMD).]</w:t>
      </w:r>
    </w:p>
    <w:p>
      <w:pPr>
        <w:jc w:val="both"/>
        <w:spacing w:before="100" w:after="0"/>
        <w:ind w:start="360"/>
        <w:ind w:firstLine="360"/>
      </w:pPr>
      <w:r>
        <w:rPr>
          <w:b/>
        </w:rPr>
        <w:t>1</w:t>
        <w:t xml:space="preserve">.  </w:t>
      </w:r>
      <w:r>
        <w:rPr>
          <w:b/>
        </w:rPr>
        <w:t xml:space="preserve">Registration dates.</w:t>
        <w:t xml:space="preserve"> </w:t>
      </w:r>
      <w:r>
        <w:t xml:space="preserve"> </w:t>
      </w:r>
      <w:r>
        <w:t xml:space="preserve">Registration must occur between June 1st and June 15th of 1990 or 1991.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§6 (AMD).]</w:t>
      </w:r>
    </w:p>
    <w:p>
      <w:pPr>
        <w:jc w:val="both"/>
        <w:spacing w:before="100" w:after="0"/>
        <w:ind w:start="360"/>
        <w:ind w:firstLine="360"/>
      </w:pPr>
      <w:r>
        <w:rPr>
          <w:b/>
        </w:rPr>
        <w:t>2</w:t>
        <w:t xml:space="preserve">.  </w:t>
      </w:r>
      <w:r>
        <w:rPr>
          <w:b/>
        </w:rPr>
        <w:t xml:space="preserve">Place of registration.</w:t>
        <w:t xml:space="preserve"> </w:t>
      </w:r>
      <w:r>
        <w:t xml:space="preserve"> </w:t>
      </w:r>
      <w:r>
        <w:t xml:space="preserve">Registration must occur in the office of the municipality in which the land is located.  In the event there is no official municipal office, the registration must take place with the town assessor.  In the event the farmland is located in the unorganized territory, the registration must take place in the office of the county in which the land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§6 (AMD).]</w:t>
      </w:r>
    </w:p>
    <w:p>
      <w:pPr>
        <w:jc w:val="both"/>
        <w:spacing w:before="100" w:after="0"/>
        <w:ind w:start="360"/>
        <w:ind w:firstLine="360"/>
      </w:pPr>
      <w:r>
        <w:rPr>
          <w:b/>
        </w:rPr>
        <w:t>3</w:t>
        <w:t xml:space="preserve">.  </w:t>
      </w:r>
      <w:r>
        <w:rPr>
          <w:b/>
        </w:rPr>
        <w:t xml:space="preserve">Effective date.</w:t>
        <w:t xml:space="preserve"> </w:t>
      </w:r>
      <w:r>
        <w:t xml:space="preserve"> </w:t>
      </w:r>
      <w:r>
        <w:t xml:space="preserve">A registration takes effect 15 days after receipt of notice by the municipality and abutting owners.  If review proceedings are initiated under </w:t>
      </w:r>
      <w:r>
        <w:t>section 54</w:t>
      </w:r>
      <w:r>
        <w:t xml:space="preserve">, the registration is effective when upheld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§6 (AMD).]</w:t>
      </w:r>
    </w:p>
    <w:p>
      <w:pPr>
        <w:jc w:val="both"/>
        <w:spacing w:before="100" w:after="0"/>
        <w:ind w:start="360"/>
        <w:ind w:firstLine="360"/>
      </w:pPr>
      <w:r>
        <w:rPr>
          <w:b/>
        </w:rPr>
        <w:t>4</w:t>
        <w:t xml:space="preserve">.  </w:t>
      </w:r>
      <w:r>
        <w:rPr>
          <w:b/>
        </w:rPr>
        <w:t xml:space="preserve">Duration.</w:t>
        <w:t xml:space="preserve"> </w:t>
      </w:r>
      <w:r>
        <w:t xml:space="preserve"> </w:t>
      </w:r>
      <w:r>
        <w:t xml:space="preserve">A registration made under this chapter within the time frame provided under </w:t>
      </w:r>
      <w:r>
        <w:t>subsection 1</w:t>
      </w:r>
      <w:r>
        <w:t xml:space="preserve"> that has not been withdrawn in accordance with </w:t>
      </w:r>
      <w:r>
        <w:t>section 53‑E</w:t>
      </w:r>
      <w:r>
        <w:t xml:space="preserve"> remains in effect until April 1, 2013.  To maintain registration under this chapter after April 1, 2013, a landowner must initially renew registration of the farmland in accordance with </w:t>
      </w:r>
      <w:r>
        <w:t>subsection 6</w:t>
      </w:r>
      <w:r>
        <w:t xml:space="preserve"> and every 5 years thereafter in accordance with </w:t>
      </w:r>
      <w:r>
        <w:t>section 53‑I,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§6 (AMD).]</w:t>
      </w:r>
    </w:p>
    <w:p>
      <w:pPr>
        <w:jc w:val="both"/>
        <w:spacing w:before="100" w:after="0"/>
        <w:ind w:start="360"/>
        <w:ind w:firstLine="360"/>
      </w:pPr>
      <w:r>
        <w:rPr>
          <w:b/>
        </w:rPr>
        <w:t>5</w:t>
        <w:t xml:space="preserve">.  </w:t>
      </w:r>
      <w:r>
        <w:rPr>
          <w:b/>
        </w:rPr>
        <w:t xml:space="preserve">Registry of deeds.</w:t>
        <w:t xml:space="preserve"> </w:t>
      </w:r>
      <w:r>
        <w:t xml:space="preserve"> </w:t>
      </w:r>
      <w:r>
        <w:t xml:space="preserve">A copy of the municipal or county registration and any withdrawal bearing the certification of a notary public that the copy is a true and accurate copy must be recorded in the registry of deeds of the county in which the registered farmland or any abutting property is located, and must be indexed in the Grantor index under the entry "Farmland" and filed under "F."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§6 (AMD).]</w:t>
      </w:r>
    </w:p>
    <w:p>
      <w:pPr>
        <w:jc w:val="both"/>
        <w:spacing w:before="100" w:after="100"/>
        <w:ind w:start="360"/>
        <w:ind w:firstLine="360"/>
      </w:pPr>
      <w:r>
        <w:rPr>
          <w:b/>
        </w:rPr>
        <w:t>6</w:t>
        <w:t xml:space="preserve">.  </w:t>
      </w:r>
      <w:r>
        <w:rPr>
          <w:b/>
        </w:rPr>
        <w:t xml:space="preserve">Renewal.</w:t>
        <w:t xml:space="preserve"> </w:t>
      </w:r>
      <w:r>
        <w:t xml:space="preserve"> </w:t>
      </w:r>
      <w:r>
        <w:t xml:space="preserve">To renew a registration of farmland that was registered within the time frame provided under </w:t>
      </w:r>
      <w:r>
        <w:t>subsection 1</w:t>
      </w:r>
      <w:r>
        <w:t xml:space="preserve">, the landowner must submit to the department a copy of the notarized registration recorded with the registry of deeds under </w:t>
      </w:r>
      <w:r>
        <w:t>subsection 5</w:t>
      </w:r>
      <w:r>
        <w:t xml:space="preserve"> and comply with the renewal requirements under </w:t>
      </w:r>
      <w:r>
        <w:t>section 53‑I, subsection 4</w:t>
      </w:r>
      <w:r>
        <w:t xml:space="preserve">.</w:t>
      </w:r>
    </w:p>
    <w:p>
      <w:pPr>
        <w:jc w:val="both"/>
        <w:spacing w:before="100" w:after="0"/>
        <w:ind w:start="360"/>
      </w:pPr>
      <w:r>
        <w:rPr/>
      </w:r>
      <w:r>
        <w:rPr/>
      </w:r>
      <w:r>
        <w:t xml:space="preserve">A landowner who is unable to demonstrate compliance with all registration requirements under this section may apply for registration under </w:t>
      </w:r>
      <w:r>
        <w:t>section 53‑I</w:t>
      </w:r>
      <w:r>
        <w:t xml:space="preserve"> but after April 1, 2013 is no longer protected from inconsistent development under </w:t>
      </w:r>
      <w:r>
        <w:t>section 56,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§53-B. Registration in 1990 and 1991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§53-B. Registration in 1990 and 1991</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§53-B. REGISTRATION IN 1990 AND 1991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