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§538. Guaranty bar to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Guaranty bar to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§538. GUARANTY BAR TO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