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w:t>
        <w:t xml:space="preserve">.  </w:t>
      </w:r>
      <w:r>
        <w:rPr>
          <w:b/>
        </w:rPr>
        <w:t xml:space="preserve">Violations</w:t>
      </w:r>
    </w:p>
    <w:p>
      <w:pPr>
        <w:jc w:val="both"/>
        <w:spacing w:before="100" w:after="100"/>
        <w:ind w:start="360"/>
        <w:ind w:firstLine="360"/>
      </w:pPr>
      <w:r>
        <w:rPr/>
      </w:r>
      <w:r>
        <w:rPr/>
      </w:r>
      <w:r>
        <w:t xml:space="preserve">A person, firm or corporation that violates any provision of </w:t>
      </w:r>
      <w:r>
        <w:t>sections 640</w:t>
      </w:r>
      <w:r>
        <w:t xml:space="preserve"> to </w:t>
      </w:r>
      <w:r>
        <w:t>642</w:t>
      </w:r>
      <w:r>
        <w:t xml:space="preserve"> commits a civil violation for which a forfeiture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421, Pt. B, §6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§69 (RPR). PL 2001, c. 421, §B6 (AMD).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§643.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§643.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