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Inspection; sampling; analysis</w:t>
      </w:r>
    </w:p>
    <w:p>
      <w:pPr>
        <w:jc w:val="both"/>
        <w:spacing w:before="100" w:after="0"/>
        <w:ind w:start="360"/>
        <w:ind w:firstLine="360"/>
      </w:pPr>
      <w:r>
        <w:rPr>
          <w:b/>
        </w:rPr>
        <w:t>1</w:t>
        <w:t xml:space="preserve">.  </w:t>
      </w:r>
      <w:r>
        <w:rPr>
          <w:b/>
        </w:rPr>
        <w:t xml:space="preserve">Commissioner shall inspect, analyze, test.</w:t>
        <w:t xml:space="preserve"> </w:t>
      </w:r>
      <w:r>
        <w:t xml:space="preserve"> </w:t>
      </w:r>
      <w:r>
        <w:t xml:space="preserve">The commissioner, or the commissioner's authorized agent, shall sample, inspect, analyze and test the agricultural liming materials distributed within this State to determine whether the agricultural liming materials are in compliance with this subchapter.  The commissioner, individually or through the commissioner's agent, may enter upon any public or private premises or carriers during regular business hours in order to have access to agricultural liming materials subject to this subchapter and rules adopted under this subchapter and to the records relating to their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§105 (COR).]</w:t>
      </w:r>
    </w:p>
    <w:p>
      <w:pPr>
        <w:jc w:val="both"/>
        <w:spacing w:before="100" w:after="0"/>
        <w:ind w:start="360"/>
        <w:ind w:firstLine="360"/>
      </w:pPr>
      <w:r>
        <w:rPr>
          <w:b/>
        </w:rPr>
        <w:t>2</w:t>
        <w:t xml:space="preserve">.  </w:t>
      </w:r>
      <w:r>
        <w:rPr>
          <w:b/>
        </w:rPr>
        <w:t xml:space="preserve">Methods of analysis and sampling.</w:t>
        <w:t xml:space="preserve"> </w:t>
      </w:r>
      <w:r>
        <w:t xml:space="preserve"> </w:t>
      </w:r>
      <w:r>
        <w:t xml:space="preserve">The methods of analysis and sampling shall be those approved by the commissioner and shall be guided by the Association of Official Analytical Chemists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Adulterated or misbranded materials.</w:t>
        <w:t xml:space="preserve"> </w:t>
      </w:r>
      <w:r>
        <w:t xml:space="preserve"> </w:t>
      </w:r>
      <w:r>
        <w:t xml:space="preserve">When the inspection and analysis of an official sample indicate an agricultural liming material has been adulterated or misbranded, the results of analysis shall be forwarded by the commissioner to the registrant and to the distributor of the sample.  If the registrant or distributor, within 30 days of notification, requests a portion of the test sample then the commissioner shall furnish, within 30 days of this request, a portion of the sample to the registrant or distributor who made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2021, c. 1, Pt. B, §105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§767. Inspection; sampling;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Inspection; sampling;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§767. INSPECTION; SAMPLING;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