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768</w:t>
        <w:t xml:space="preserve">.  </w:t>
      </w:r>
      <w:r>
        <w:rPr>
          <w:b/>
        </w:rPr>
        <w:t xml:space="preserve">Stop sale orders</w:t>
      </w:r>
    </w:p>
    <w:p>
      <w:pPr>
        <w:jc w:val="both"/>
        <w:spacing w:before="100" w:after="0"/>
        <w:ind w:start="360"/>
        <w:ind w:firstLine="360"/>
      </w:pPr>
      <w:r>
        <w:rPr>
          <w:b/>
        </w:rPr>
        <w:t>1</w:t>
        <w:t xml:space="preserve">.  </w:t>
      </w:r>
      <w:r>
        <w:rPr>
          <w:b/>
        </w:rPr>
        <w:t xml:space="preserve">Issuance of order.</w:t>
        <w:t xml:space="preserve"> </w:t>
      </w:r>
      <w:r>
        <w:t xml:space="preserve"> </w:t>
      </w:r>
      <w:r>
        <w:t xml:space="preserve">The commissioner may issue a written "stop sale, use or removal" order to the owner or custodian of any lot of agricultural liming materials when the commissioner determines that a violation of this subchapter has taken place.  The order must include a notice that the owner or custodian may request a review of the determination of the commissioner at a hearing by filing a written request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Hearing.</w:t>
        <w:t xml:space="preserve"> </w:t>
      </w:r>
      <w:r>
        <w:t xml:space="preserve"> </w:t>
      </w:r>
      <w:r>
        <w:t xml:space="preserve">Within 10 days of receipt of a request for a hearing under </w:t>
      </w:r>
      <w:r>
        <w:t>subsection 1</w:t>
      </w:r>
      <w:r>
        <w:t xml:space="preserve">, the commissioner shall hold a hearing in accordance with the Maine Administrative Procedure Act, </w:t>
      </w:r>
      <w:r>
        <w:t>Title 5, chapter 375, subchapter</w:t>
      </w:r>
      <w:r>
        <w:t xml:space="preserve"> IV. Upon the hearing, the commissioner shall either rescind the order or, for good cause shown,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Release of materials.</w:t>
        <w:t xml:space="preserve"> </w:t>
      </w:r>
      <w:r>
        <w:t xml:space="preserve"> </w:t>
      </w:r>
      <w:r>
        <w:t xml:space="preserve">When the requirements of this subchapter have been met and all costs and expenses incurred in connection with the withdrawal have been paid, the commissioner shall release the agricultural liming materials held under this section by terminating the "stop sale, use or removal" order and issuing a release order.  The issuance of the release order shall not be considered licensing or an adjudicatory proceeding, as defined by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§768. Stop sale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§768. Stop sale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§768. STOP SALE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