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w:t>
        <w:t xml:space="preserve">.  </w:t>
      </w:r>
      <w:r>
        <w:rPr>
          <w:b/>
        </w:rPr>
        <w:t xml:space="preserve">Constables</w:t>
      </w:r>
    </w:p>
    <w:p>
      <w:pPr>
        <w:jc w:val="both"/>
        <w:spacing w:before="100" w:after="100"/>
        <w:ind w:start="360"/>
        <w:ind w:firstLine="360"/>
      </w:pPr>
      <w:r>
        <w:rPr/>
      </w:r>
      <w:r>
        <w:rPr/>
      </w:r>
      <w:r>
        <w:t xml:space="preserve">The officers of an agricultural society may appoint persons to act as constables at a licensed fair sponsored by that society for the preservation of the public peace and the enforcement of the regulations of the society. An appointment made under this section is valid only within the town where the fair is held and only for the period from noon of the day preceding the commencement of the fair until noon of the day after the termination of the fair.  A constable appointed under this section has the powers and duties of a constable under </w:t>
      </w:r>
      <w:r>
        <w:t>Title 30‑A, section 2673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§92. Constables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 Constables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§92. CONSTABLES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