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§94. ENTRY FEES; LIEN ON ANIMALS OR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