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HORSE RACING</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13. HORSE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