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Facility-based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auditing and security programs under </w:t>
      </w:r>
      <w:r>
        <w:t>section 1003, subsection 2</w:t>
      </w:r>
      <w:r>
        <w:t xml:space="preserve">, all slot machines at a casino or slot machine facility must communicate electronically with the licensee's facility-based monitoring system. The facility-based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at the casino or slot machine facility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B</w:t>
        <w:t xml:space="preserve">.  </w:t>
      </w:r>
      <w:r>
        <w:rPr/>
      </w:r>
      <w:r>
        <w:t xml:space="preserve">Use a widely accepted gaming industry protocol to facilitate slot machine manufacturers' ability to communicate with the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facility-based monitoring system is capable of operating independently if another component of the facility-based monitoring system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549, §8 (AMD); PL 2023, c. 549, §15 (AFF).]</w:t>
      </w:r>
    </w:p>
    <w:p>
      <w:pPr>
        <w:jc w:val="both"/>
        <w:spacing w:before="100" w:after="0"/>
        <w:ind w:start="360"/>
      </w:pPr>
      <w:r>
        <w:rPr/>
      </w:r>
      <w:r>
        <w:rPr/>
      </w:r>
      <w:r>
        <w:t xml:space="preserve">An on-site computer system that is accessible by the department through read‑only access and was in operation as of January 1, 2024 at a casino or slot machine facility operated by a person licensed under </w:t>
      </w:r>
      <w:r>
        <w:t>section 1011</w:t>
      </w:r>
      <w:r>
        <w:t xml:space="preserve"> is considered a facility-based monitoring system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(AMD); PL 2023, c. 549, §15 (AFF).]</w:t>
      </w:r>
    </w:p>
    <w:p>
      <w:pPr>
        <w:jc w:val="both"/>
        <w:spacing w:before="100" w:after="0"/>
        <w:ind w:start="360"/>
        <w:ind w:firstLine="360"/>
      </w:pPr>
      <w:r>
        <w:rPr>
          <w:b/>
        </w:rPr>
        <w:t>2</w:t>
        <w:t xml:space="preserve">.  </w:t>
      </w:r>
      <w:r>
        <w:rPr>
          <w:b/>
        </w:rPr>
        <w:t xml:space="preserve">Third-party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w:pPr>
        <w:jc w:val="both"/>
        <w:spacing w:before="100" w:after="0"/>
        <w:ind w:start="360"/>
        <w:ind w:firstLine="360"/>
      </w:pPr>
      <w:r>
        <w:rPr>
          <w:b/>
        </w:rPr>
        <w:t>3</w:t>
        <w:t xml:space="preserve">.  </w:t>
      </w:r>
      <w:r>
        <w:rPr>
          <w:b/>
        </w:rPr>
        <w:t xml:space="preserve">Initial acquisition of central site monitoring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§8 (RP); PL 2023, c. 549,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2023, c. 549, §8 (AMD). PL 2023, c. 549,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 Facility-based monitoring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Facility-based monitoring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§1004. FACILITY-BASED MONITORING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