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the central site monitoring system or surveillance devices;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r>
        <w:t xml:space="preserve"> </w:t>
      </w:r>
      <w:r>
        <w:t xml:space="preserve">Records and information obtained or developed by the board or the department as part of a suitability requirement for selecting a 3rd party to operate the central site monitoring system pursuant to </w:t>
      </w:r>
      <w:r>
        <w:t>section 1004</w:t>
      </w:r>
      <w:r>
        <w:t xml:space="preserve"> are confidential for the purposes of </w:t>
      </w:r>
      <w:r>
        <w:t>Title 1, section 402, subsection 3</w:t>
      </w:r>
      <w:r>
        <w:t xml:space="preserve">, except that such records or information may be disclosed with the written consent of the person applying as the central site monitoring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the central site monitoring system or surveillance devices is confidential and may not be disclosed.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§28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or casino under </w:t>
      </w:r>
      <w:r>
        <w:t>section 1003, subsection 3, paragraph I</w:t>
      </w:r>
      <w:r>
        <w:t xml:space="preserve"> are confidential except that information may be released with the written consent of the person requesting voluntary exclusion and as is necessary to inform the slot machine facility or casino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§1006. Confidentiality of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Confidentiality of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§1006. CONFIDENTIALITY OF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