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§1012-A. Local approval for renewal of casino operator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§1012-A. LOCAL APPROVAL FOR RENEWAL OF CASINO OPERATOR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