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Applicability of other laws</w:t>
      </w:r>
    </w:p>
    <w:p>
      <w:pPr>
        <w:jc w:val="both"/>
        <w:spacing w:before="100" w:after="100"/>
        <w:ind w:start="360"/>
        <w:ind w:firstLine="360"/>
      </w:pPr>
      <w:r>
        <w:rPr/>
      </w:r>
      <w:r>
        <w:rPr/>
      </w:r>
      <w:r>
        <w:t xml:space="preserve">Unless expressly provided in this chapter, the provisions of </w:t>
      </w:r>
      <w:r>
        <w:t>Title 17, chapter 62</w:t>
      </w:r>
      <w:r>
        <w:t xml:space="preserve"> and </w:t>
      </w:r>
      <w:r>
        <w:t>Title 17‑A, chapter 39</w:t>
      </w:r>
      <w:r>
        <w:t xml:space="preserve"> do not apply to the conduct of fantasy contests operated in accordance with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§1108. Applicability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Applicability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§1108. APPLICABILITY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