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Authorization of sports wagering; license required</w:t>
      </w:r>
    </w:p>
    <w:p>
      <w:pPr>
        <w:jc w:val="both"/>
        <w:spacing w:before="100" w:after="100"/>
        <w:ind w:start="360"/>
        <w:ind w:firstLine="360"/>
      </w:pPr>
      <w:r>
        <w:rPr/>
      </w:r>
      <w:r>
        <w:rPr/>
      </w:r>
      <w:r>
        <w:t xml:space="preserve">Notwithstanding any provision of law to the contrary, the operation of sports wagering and ancillary activities are lawful when conducted in accordance with the provisions of this chapter and the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100"/>
        <w:ind w:start="360"/>
        <w:ind w:firstLine="360"/>
      </w:pPr>
      <w:r>
        <w:rPr/>
      </w:r>
      <w:r>
        <w:rPr/>
      </w:r>
      <w:r>
        <w:t xml:space="preserve">A person or entity may not engage in any activities in this State that require a license under this chapter unless all necessary licenses have been obtained in accordance with this chapter and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§1201. Authorization of sports wagering;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Authorization of sports wagering;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§1201. AUTHORIZATION OF SPORTS WAGERING;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