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 $40,000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of $40,000.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one year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§1209. Management services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Management services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§1209. MANAGEMENT SERVICES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