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Possession of fireworks</w:t>
      </w:r>
    </w:p>
    <w:p>
      <w:pPr>
        <w:jc w:val="both"/>
        <w:spacing w:before="100" w:after="0"/>
        <w:ind w:start="360"/>
        <w:ind w:firstLine="360"/>
      </w:pPr>
      <w:r>
        <w:rPr>
          <w:b/>
        </w:rPr>
        <w:t>1</w:t>
        <w:t xml:space="preserve">.  </w:t>
      </w:r>
      <w:r>
        <w:rPr>
          <w:b/>
        </w:rPr>
        <w:t xml:space="preserve">Possession prohibited.</w:t>
        <w:t xml:space="preserve"> </w:t>
      </w:r>
      <w:r>
        <w:t xml:space="preserve"> </w:t>
      </w:r>
      <w:r>
        <w:t xml:space="preserve">A person may not possess or have under that person's control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2</w:t>
        <w:t xml:space="preserve">.  </w:t>
      </w:r>
      <w:r>
        <w:rPr>
          <w:b/>
        </w:rPr>
        <w:t xml:space="preserve">Value does not exceed $100.</w:t>
        <w:t xml:space="preserve"> </w:t>
      </w:r>
      <w:r>
        <w:t xml:space="preserve"> </w:t>
      </w:r>
      <w:r>
        <w:t xml:space="preserve">If the value of the fireworks does not exceed $100, a person who violates </w:t>
      </w:r>
      <w:r>
        <w:t>subsection 1</w:t>
      </w:r>
      <w:r>
        <w:t xml:space="preserve"> commits a civil violation for which a fine of not more than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3</w:t>
        <w:t xml:space="preserve">.  </w:t>
      </w:r>
      <w:r>
        <w:rPr>
          <w:b/>
        </w:rPr>
        <w:t xml:space="preserve">Value exceeds $100.</w:t>
        <w:t xml:space="preserve"> </w:t>
      </w:r>
      <w:r>
        <w:t xml:space="preserve"> </w:t>
      </w:r>
      <w:r>
        <w:t xml:space="preserve">If the value of the fireworks exceeds $100, 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a person issued a permit pursuant to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§1 (AMD). PL 1999, c. 671, §3 (AMD). PL 2003, c. 452, §C2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 Possession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Possession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§222. POSSESSION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