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Adoption of rules</w:t>
      </w:r>
    </w:p>
    <w:p>
      <w:pPr>
        <w:jc w:val="both"/>
        <w:spacing w:before="100" w:after="0"/>
        <w:ind w:start="360"/>
        <w:ind w:firstLine="360"/>
      </w:pPr>
      <w:r>
        <w:rPr>
          <w:b/>
        </w:rPr>
        <w:t>1</w:t>
        <w:t xml:space="preserve">.  </w:t>
      </w:r>
      <w:r>
        <w:rPr>
          <w:b/>
        </w:rPr>
        <w:t xml:space="preserve">Routine technical rules.</w:t>
        <w:t xml:space="preserve"> </w:t>
      </w:r>
      <w:r>
        <w:t xml:space="preserve"> </w:t>
      </w:r>
      <w:r>
        <w:t xml:space="preserve">The commissioner may adopt rules concerning the sale, use, storage, transportation and display of consumer fireworks, fireworks and special effect pyrotechnics and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After December 31, 2013, the commissioner may adopt rules governing the reporting of consumer fireworks-related injuries by health care providers.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2011, c. 416, §6 (RPR). PL 2011, c. 416,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§236.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