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State Lottery Fund; creation</w:t>
      </w:r>
    </w:p>
    <w:p>
      <w:pPr>
        <w:jc w:val="both"/>
        <w:spacing w:before="100" w:after="100"/>
        <w:ind w:start="360"/>
        <w:ind w:firstLine="360"/>
      </w:pPr>
      <w:r>
        <w:rPr/>
      </w:r>
      <w:r>
        <w:rPr/>
      </w:r>
      <w:r>
        <w:t xml:space="preserve">There is created and established a separate fund to be known as the "State Lottery Fund," to be deposited in such depositories as the Treasurer of State may select.  These funds shall consist of all revenue received from the sale of lottery tickets or shares, agents' license fees and all other money credited or transferred to that fund from any other fund or source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 State Lottery Fund;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State Lottery Fund;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§386. STATE LOTTERY FUND;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