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w:t>
        <w:t xml:space="preserve">.  </w:t>
      </w:r>
      <w:r>
        <w:rPr>
          <w:b/>
        </w:rPr>
        <w:t xml:space="preserve">Nature of the commission</w:t>
      </w:r>
    </w:p>
    <w:p>
      <w:pPr>
        <w:jc w:val="both"/>
        <w:spacing w:before="100" w:after="100"/>
        <w:ind w:start="360"/>
        <w:ind w:firstLine="360"/>
      </w:pPr>
      <w:r>
        <w:rPr/>
      </w:r>
      <w:r>
        <w:rPr/>
      </w:r>
      <w:r>
        <w:t xml:space="preserve">The commission shall be an interstate body, both corporate and politic, serving as a common agency of the party states and representing them both collectively and individually in the exercise of its powers and duties.</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§406. Nature of the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 Nature of the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§406. NATURE OF THE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