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11-103</w:t>
        <w:t xml:space="preserve">.  </w:t>
      </w:r>
      <w:r>
        <w:rPr>
          <w:b/>
        </w:rPr>
        <w:t xml:space="preserve">Supplementary general principles of law applicable</w:t>
      </w:r>
    </w:p>
    <w:p>
      <w:pPr>
        <w:jc w:val="both"/>
        <w:spacing w:before="100" w:after="100"/>
        <w:ind w:start="360"/>
        <w:ind w:firstLine="360"/>
      </w:pPr>
      <w:r>
        <w:rPr/>
      </w:r>
      <w:r>
        <w:rPr/>
      </w:r>
      <w:r>
        <w:t xml:space="preserve">Unless displaced by the particular provisions of this Article, the "Uniform Commercial Code" and the principles of law and equity, including the law relative to capacity to contract, principal and agent, estoppel, fraud, misrepresentation, duress, coercion, mistake, bankruptcy or other validating or invalidating cause, supplement the provisions of this Article.</w:t>
      </w:r>
      <w:r>
        <w:t xml:space="preserve">  </w:t>
      </w:r>
      <w:r xmlns:wp="http://schemas.openxmlformats.org/drawingml/2010/wordprocessingDrawing" xmlns:w15="http://schemas.microsoft.com/office/word/2012/wordml">
        <w:rPr>
          <w:rFonts w:ascii="Arial" w:hAnsi="Arial" w:cs="Arial"/>
          <w:sz w:val="22"/>
          <w:szCs w:val="22"/>
        </w:rPr>
        <w:t xml:space="preserve">[PL 1991, c. 787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§11-103. Supplementary general principles of law applicable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§11-103. Supplementary general principles of law applicable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§11-103. SUPPLEMENTARY GENERAL PRINCIPLES OF LAW APPLICABLE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