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14-110</w:t>
        <w:t xml:space="preserve">.  </w:t>
      </w:r>
      <w:r>
        <w:rPr>
          <w:b/>
        </w:rPr>
        <w:t xml:space="preserve">Compliance with federal law</w:t>
      </w:r>
    </w:p>
    <w:p>
      <w:pPr>
        <w:jc w:val="both"/>
        <w:spacing w:before="100" w:after="100"/>
        <w:ind w:start="360"/>
        <w:ind w:firstLine="360"/>
      </w:pPr>
      <w:r>
        <w:rPr/>
      </w:r>
      <w:r>
        <w:rPr/>
      </w:r>
      <w:r>
        <w:t xml:space="preserve">A student loan servicer shall comply with all applicable federal laws and regulations relating to student education loan servicing, including, but not limited to, the federal Truth in Lending Act, 15 United States Code, Sections 1601 to 1667f (2010), as amended, and the regulations adopted pursuant to that Act. In addition to any other remedies provided by law, a violation of that Act or regulations adopted pursuant to that Act is a violation of this section and a basis upon which the superintendent may take enforcement action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§14-110.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§14-110.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§14-110.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