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w:t>
        <w:t xml:space="preserve">.  </w:t>
      </w:r>
      <w:r>
        <w:rPr>
          <w:b/>
        </w:rPr>
        <w:t xml:space="preserve">Charge for insurance in connection with a refinancing or consolidation</w:t>
      </w:r>
    </w:p>
    <w:p>
      <w:pPr>
        <w:jc w:val="both"/>
        <w:spacing w:before="100" w:after="100"/>
        <w:ind w:start="360"/>
        <w:ind w:firstLine="360"/>
      </w:pPr>
      <w:r>
        <w:rPr/>
      </w:r>
      <w:r>
        <w:rPr/>
      </w:r>
      <w:r>
        <w:t xml:space="preserve">The provisions of </w:t>
      </w:r>
      <w:r>
        <w:t>Title 24‑A, section 2856, subsection 4</w:t>
      </w:r>
      <w:r>
        <w:t xml:space="preserve"> and </w:t>
      </w:r>
      <w:r>
        <w:t>section 2859</w:t>
      </w:r>
      <w:r>
        <w:t xml:space="preserve">, shall apply to insurance provided or to be provided in relation to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§4-110. Charge for insurance in connection with a refinancing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 Charge for insurance in connection with a refinancing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§4-110. CHARGE FOR INSURANCE IN CONNECTION WITH A REFINANCING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