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§8-504. Maine Consumer Credit Code -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§8-504. Maine Consumer Credit Code -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§8-504. MAINE CONSUMER CREDIT CODE -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