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Authority to make or service supervised loans; licensing</w:t>
      </w:r>
    </w:p>
    <w:p>
      <w:pPr>
        <w:jc w:val="both"/>
        <w:spacing w:before="100" w:after="100"/>
        <w:ind w:start="360"/>
        <w:ind w:firstLine="360"/>
      </w:pPr>
      <w:r>
        <w:rPr/>
      </w:r>
      <w:r>
        <w:rPr/>
      </w:r>
      <w:r>
        <w:t xml:space="preserve">The provisions of </w:t>
      </w:r>
      <w:r>
        <w:t>sections 2‑301</w:t>
      </w:r>
      <w:r>
        <w:t xml:space="preserve"> to </w:t>
      </w:r>
      <w:r>
        <w:t>2‑304</w:t>
      </w:r>
      <w:r>
        <w:t xml:space="preserve"> control the authority of supervised lenders and mortgage loan servicers that are not supervised financial organizations to make or service loans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2017, c. 106,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2017, c. 106,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§9-201. Authority to make or service supervised loans;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Authority to make or service supervised loans;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§9-201. AUTHORITY TO MAKE OR SERVICE SUPERVISED LOANS;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