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9-310</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1,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(COR). PL 2001, c. 262,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§9-310. Privacy of consumer financial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§9-310. Privacy of consumer financial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§9-310. PRIVACY OF CONSUMER FINANCIAL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