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16. CONFIDENTIAL FINANCIAL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